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25C0FA" w14:textId="77777777" w:rsidR="008200E1" w:rsidRDefault="00CD1B34" w:rsidP="000E0418">
      <w:pPr>
        <w:pStyle w:val="NoSpacing"/>
        <w:rPr>
          <w:rFonts w:ascii="Tahoma" w:hAnsi="Tahoma" w:cs="Tahoma"/>
          <w:color w:val="1E1E82"/>
          <w:sz w:val="24"/>
          <w:szCs w:val="24"/>
        </w:rPr>
      </w:pPr>
      <w:r w:rsidRPr="009F41E1">
        <w:rPr>
          <w:rFonts w:ascii="Tahoma" w:hAnsi="Tahoma" w:cs="Tahoma"/>
          <w:color w:val="1E1E82"/>
          <w:sz w:val="24"/>
          <w:szCs w:val="24"/>
        </w:rPr>
        <w:t>N</w:t>
      </w:r>
      <w:r w:rsidR="008200E1">
        <w:rPr>
          <w:rFonts w:ascii="Tahoma" w:hAnsi="Tahoma" w:cs="Tahoma"/>
          <w:color w:val="1E1E82"/>
          <w:sz w:val="24"/>
          <w:szCs w:val="24"/>
        </w:rPr>
        <w:t>orth Essex Cricket League</w:t>
      </w:r>
    </w:p>
    <w:p w14:paraId="4903E877" w14:textId="396924BE" w:rsidR="000E0418" w:rsidRDefault="00CD1B34" w:rsidP="000E0418">
      <w:pPr>
        <w:pStyle w:val="NoSpacing"/>
        <w:rPr>
          <w:rFonts w:ascii="Tahoma" w:hAnsi="Tahoma" w:cs="Tahoma"/>
          <w:color w:val="1E1E82"/>
          <w:sz w:val="24"/>
          <w:szCs w:val="24"/>
        </w:rPr>
      </w:pPr>
      <w:r w:rsidRPr="009F41E1">
        <w:rPr>
          <w:rFonts w:ascii="Tahoma" w:hAnsi="Tahoma" w:cs="Tahoma"/>
          <w:color w:val="1E1E82"/>
          <w:sz w:val="24"/>
          <w:szCs w:val="24"/>
        </w:rPr>
        <w:t>Proposed Rule Changes 202</w:t>
      </w:r>
      <w:r w:rsidR="000E0418" w:rsidRPr="009F41E1">
        <w:rPr>
          <w:rFonts w:ascii="Tahoma" w:hAnsi="Tahoma" w:cs="Tahoma"/>
          <w:color w:val="1E1E82"/>
          <w:sz w:val="24"/>
          <w:szCs w:val="24"/>
        </w:rPr>
        <w:t>3</w:t>
      </w:r>
    </w:p>
    <w:p w14:paraId="25C3953F" w14:textId="77777777" w:rsidR="008200E1" w:rsidRDefault="008200E1" w:rsidP="008200E1">
      <w:pPr>
        <w:rPr>
          <w:rFonts w:ascii="Tahoma" w:hAnsi="Tahoma" w:cs="Tahoma"/>
          <w:color w:val="1E1E82"/>
          <w:sz w:val="24"/>
          <w:szCs w:val="24"/>
        </w:rPr>
      </w:pPr>
    </w:p>
    <w:p w14:paraId="58664E78" w14:textId="21285321" w:rsidR="008200E1" w:rsidRPr="008200E1" w:rsidRDefault="008200E1" w:rsidP="008200E1">
      <w:pPr>
        <w:rPr>
          <w:rFonts w:ascii="Tahoma" w:hAnsi="Tahoma" w:cs="Tahoma"/>
          <w:color w:val="1E1E82"/>
          <w:sz w:val="24"/>
          <w:szCs w:val="24"/>
        </w:rPr>
      </w:pPr>
      <w:r w:rsidRPr="008200E1">
        <w:rPr>
          <w:rFonts w:ascii="Tahoma" w:hAnsi="Tahoma" w:cs="Tahoma"/>
          <w:color w:val="1E1E82"/>
          <w:sz w:val="24"/>
          <w:szCs w:val="24"/>
        </w:rPr>
        <w:t xml:space="preserve">Rule </w:t>
      </w:r>
      <w:r>
        <w:rPr>
          <w:rFonts w:ascii="Tahoma" w:hAnsi="Tahoma" w:cs="Tahoma"/>
          <w:color w:val="1E1E82"/>
          <w:sz w:val="24"/>
          <w:szCs w:val="24"/>
        </w:rPr>
        <w:t xml:space="preserve">Change </w:t>
      </w:r>
      <w:r w:rsidRPr="008200E1">
        <w:rPr>
          <w:rFonts w:ascii="Tahoma" w:hAnsi="Tahoma" w:cs="Tahoma"/>
          <w:color w:val="1E1E82"/>
          <w:sz w:val="24"/>
          <w:szCs w:val="24"/>
        </w:rPr>
        <w:t>16</w:t>
      </w:r>
    </w:p>
    <w:p w14:paraId="67DD38C5" w14:textId="77777777" w:rsidR="008200E1" w:rsidRPr="008200E1" w:rsidRDefault="008200E1" w:rsidP="008200E1">
      <w:pPr>
        <w:rPr>
          <w:rFonts w:ascii="Tahoma" w:hAnsi="Tahoma" w:cs="Tahoma"/>
          <w:color w:val="1E1E82"/>
          <w:sz w:val="24"/>
          <w:szCs w:val="24"/>
        </w:rPr>
      </w:pPr>
      <w:r w:rsidRPr="008200E1">
        <w:rPr>
          <w:rFonts w:ascii="Tahoma" w:hAnsi="Tahoma" w:cs="Tahoma"/>
          <w:color w:val="1E1E82"/>
          <w:sz w:val="24"/>
          <w:szCs w:val="24"/>
        </w:rPr>
        <w:t>Replace the first sentence with the following:</w:t>
      </w:r>
    </w:p>
    <w:p w14:paraId="6B533A90" w14:textId="77777777" w:rsidR="008200E1" w:rsidRPr="008200E1" w:rsidRDefault="008200E1" w:rsidP="008200E1">
      <w:pPr>
        <w:rPr>
          <w:rFonts w:ascii="Tahoma" w:hAnsi="Tahoma" w:cs="Tahoma"/>
          <w:color w:val="1E1E82"/>
          <w:sz w:val="24"/>
          <w:szCs w:val="24"/>
        </w:rPr>
      </w:pPr>
      <w:r w:rsidRPr="008200E1">
        <w:rPr>
          <w:rFonts w:ascii="Tahoma" w:hAnsi="Tahoma" w:cs="Tahoma"/>
          <w:color w:val="1E1E82"/>
          <w:sz w:val="24"/>
          <w:szCs w:val="24"/>
        </w:rPr>
        <w:t>‘At the end of each season the top two teams in Division 2 will have the option of being promoted to Division 1. If they both decide to take up this option, the bottom two teams in Division 1 will be relegated. If only one of them wishes to take up this option, only the bottom team in Division 1 will be relegated. If neither wishes to take up this option, there will be no promotion or relegation.’</w:t>
      </w:r>
    </w:p>
    <w:p w14:paraId="370E71B1" w14:textId="77777777" w:rsidR="008200E1" w:rsidRPr="009F41E1" w:rsidRDefault="008200E1" w:rsidP="000E0418">
      <w:pPr>
        <w:pStyle w:val="NoSpacing"/>
        <w:rPr>
          <w:rFonts w:ascii="Tahoma" w:hAnsi="Tahoma" w:cs="Tahoma"/>
          <w:color w:val="1E1E82"/>
          <w:sz w:val="24"/>
          <w:szCs w:val="24"/>
        </w:rPr>
      </w:pPr>
    </w:p>
    <w:p w14:paraId="544E3F44" w14:textId="4AC1D9B8" w:rsidR="000E0418" w:rsidRPr="009F41E1" w:rsidRDefault="009F41E1" w:rsidP="000E0418">
      <w:pPr>
        <w:spacing w:after="0" w:line="240" w:lineRule="auto"/>
        <w:rPr>
          <w:rFonts w:ascii="Tahoma" w:eastAsia="Times New Roman" w:hAnsi="Tahoma" w:cs="Tahoma"/>
          <w:color w:val="1E1E82"/>
          <w:sz w:val="24"/>
          <w:szCs w:val="24"/>
          <w:lang w:eastAsia="en-GB"/>
        </w:rPr>
      </w:pPr>
      <w:r w:rsidRPr="009F41E1">
        <w:rPr>
          <w:rFonts w:ascii="Tahoma" w:eastAsia="Times New Roman" w:hAnsi="Tahoma" w:cs="Tahoma"/>
          <w:color w:val="1E1E82"/>
          <w:sz w:val="24"/>
          <w:szCs w:val="24"/>
          <w:lang w:eastAsia="en-GB"/>
        </w:rPr>
        <w:t>Rule Change 31(A)</w:t>
      </w:r>
    </w:p>
    <w:p w14:paraId="74FF7F0E" w14:textId="77777777" w:rsidR="009F41E1" w:rsidRPr="009F41E1" w:rsidRDefault="000E0418" w:rsidP="000E0418">
      <w:pPr>
        <w:spacing w:after="0" w:line="240" w:lineRule="auto"/>
        <w:rPr>
          <w:rFonts w:ascii="Tahoma" w:eastAsia="Times New Roman" w:hAnsi="Tahoma" w:cs="Tahoma"/>
          <w:color w:val="1E1E82"/>
          <w:sz w:val="24"/>
          <w:szCs w:val="24"/>
          <w:lang w:eastAsia="en-GB"/>
        </w:rPr>
      </w:pPr>
      <w:r w:rsidRPr="009F41E1">
        <w:rPr>
          <w:rFonts w:ascii="Tahoma" w:eastAsia="Times New Roman" w:hAnsi="Tahoma" w:cs="Tahoma"/>
          <w:color w:val="1E1E82"/>
          <w:sz w:val="24"/>
          <w:szCs w:val="24"/>
          <w:lang w:eastAsia="en-GB"/>
        </w:rPr>
        <w:t> </w:t>
      </w:r>
    </w:p>
    <w:p w14:paraId="578C8109" w14:textId="08BA291C" w:rsidR="000E0418" w:rsidRPr="009F41E1" w:rsidRDefault="000E0418" w:rsidP="000E0418">
      <w:pPr>
        <w:spacing w:after="0" w:line="240" w:lineRule="auto"/>
        <w:rPr>
          <w:rFonts w:ascii="Tahoma" w:eastAsia="Times New Roman" w:hAnsi="Tahoma" w:cs="Tahoma"/>
          <w:color w:val="1E1E82"/>
          <w:sz w:val="24"/>
          <w:szCs w:val="24"/>
          <w:lang w:eastAsia="en-GB"/>
        </w:rPr>
      </w:pPr>
      <w:r w:rsidRPr="008200E1">
        <w:rPr>
          <w:rFonts w:ascii="Tahoma" w:eastAsia="Times New Roman" w:hAnsi="Tahoma" w:cs="Tahoma"/>
          <w:color w:val="1E1E82"/>
          <w:sz w:val="24"/>
          <w:szCs w:val="24"/>
          <w:lang w:eastAsia="en-GB"/>
        </w:rPr>
        <w:t>No player who has scored 300 runs or taken 20 wickets in any of the top 3 tiers of</w:t>
      </w:r>
      <w:r w:rsidRPr="009F41E1">
        <w:rPr>
          <w:rFonts w:ascii="Tahoma" w:eastAsia="Times New Roman" w:hAnsi="Tahoma" w:cs="Tahoma"/>
          <w:color w:val="1E1E82"/>
          <w:sz w:val="24"/>
          <w:szCs w:val="24"/>
          <w:lang w:eastAsia="en-GB"/>
        </w:rPr>
        <w:t xml:space="preserve"> ECB league (EAPL, Essex Premier League, Two Counties Division 1 and 2) in the previous season is eligible to play in the NECL Division Two and below. They are permitted to play in Division One, and the T20 competition. Any club infringing this rule will be penalised by the deduction of any points gained in that match.</w:t>
      </w:r>
    </w:p>
    <w:p w14:paraId="443F0E89" w14:textId="77777777" w:rsidR="000E0418" w:rsidRPr="009F41E1" w:rsidRDefault="000E0418" w:rsidP="000E0418">
      <w:pPr>
        <w:spacing w:after="0" w:line="240" w:lineRule="auto"/>
        <w:rPr>
          <w:rFonts w:ascii="Tahoma" w:eastAsia="Times New Roman" w:hAnsi="Tahoma" w:cs="Tahoma"/>
          <w:color w:val="1E1E82"/>
          <w:sz w:val="24"/>
          <w:szCs w:val="24"/>
          <w:lang w:eastAsia="en-GB"/>
        </w:rPr>
      </w:pPr>
      <w:r w:rsidRPr="009F41E1">
        <w:rPr>
          <w:rFonts w:ascii="Tahoma" w:eastAsia="Times New Roman" w:hAnsi="Tahoma" w:cs="Tahoma"/>
          <w:color w:val="1E1E82"/>
          <w:sz w:val="24"/>
          <w:szCs w:val="24"/>
          <w:lang w:eastAsia="en-GB"/>
        </w:rPr>
        <w:t> </w:t>
      </w:r>
    </w:p>
    <w:p w14:paraId="421D768F" w14:textId="77777777" w:rsidR="000E0418" w:rsidRPr="009F41E1" w:rsidRDefault="000E0418" w:rsidP="000E0418">
      <w:pPr>
        <w:spacing w:after="0" w:line="240" w:lineRule="auto"/>
        <w:rPr>
          <w:rFonts w:ascii="Tahoma" w:eastAsia="Times New Roman" w:hAnsi="Tahoma" w:cs="Tahoma"/>
          <w:color w:val="1E1E82"/>
          <w:sz w:val="24"/>
          <w:szCs w:val="24"/>
          <w:lang w:eastAsia="en-GB"/>
        </w:rPr>
      </w:pPr>
      <w:r w:rsidRPr="009F41E1">
        <w:rPr>
          <w:rFonts w:ascii="Tahoma" w:eastAsia="Times New Roman" w:hAnsi="Tahoma" w:cs="Tahoma"/>
          <w:color w:val="1E1E82"/>
          <w:sz w:val="24"/>
          <w:szCs w:val="24"/>
          <w:lang w:eastAsia="en-GB"/>
        </w:rPr>
        <w:t>Added Essex Premier League to the wording of this rule - oversight that it was not included last year.</w:t>
      </w:r>
    </w:p>
    <w:p w14:paraId="7F5A2F27" w14:textId="77777777" w:rsidR="000E0418" w:rsidRPr="009F41E1" w:rsidRDefault="000E0418" w:rsidP="000E0418">
      <w:pPr>
        <w:spacing w:after="0" w:line="240" w:lineRule="auto"/>
        <w:rPr>
          <w:rFonts w:ascii="Tahoma" w:eastAsia="Times New Roman" w:hAnsi="Tahoma" w:cs="Tahoma"/>
          <w:color w:val="1E1E82"/>
          <w:sz w:val="24"/>
          <w:szCs w:val="24"/>
          <w:lang w:eastAsia="en-GB"/>
        </w:rPr>
      </w:pPr>
      <w:r w:rsidRPr="009F41E1">
        <w:rPr>
          <w:rFonts w:ascii="Tahoma" w:eastAsia="Times New Roman" w:hAnsi="Tahoma" w:cs="Tahoma"/>
          <w:color w:val="1E1E82"/>
          <w:sz w:val="24"/>
          <w:szCs w:val="24"/>
          <w:lang w:eastAsia="en-GB"/>
        </w:rPr>
        <w:t> </w:t>
      </w:r>
    </w:p>
    <w:p w14:paraId="41CFD7E4" w14:textId="77777777" w:rsidR="000E0418" w:rsidRPr="009F41E1" w:rsidRDefault="000E0418" w:rsidP="000E0418">
      <w:pPr>
        <w:spacing w:after="0" w:line="240" w:lineRule="auto"/>
        <w:rPr>
          <w:rFonts w:ascii="Tahoma" w:eastAsia="Times New Roman" w:hAnsi="Tahoma" w:cs="Tahoma"/>
          <w:color w:val="1E1E82"/>
          <w:sz w:val="24"/>
          <w:szCs w:val="24"/>
          <w:lang w:eastAsia="en-GB"/>
        </w:rPr>
      </w:pPr>
      <w:r w:rsidRPr="009F41E1">
        <w:rPr>
          <w:rFonts w:ascii="Tahoma" w:eastAsia="Times New Roman" w:hAnsi="Tahoma" w:cs="Tahoma"/>
          <w:color w:val="1E1E82"/>
          <w:sz w:val="24"/>
          <w:szCs w:val="24"/>
          <w:lang w:eastAsia="en-GB"/>
        </w:rPr>
        <w:t> </w:t>
      </w:r>
    </w:p>
    <w:p w14:paraId="118A7E42" w14:textId="77777777" w:rsidR="009F41E1" w:rsidRPr="009F41E1" w:rsidRDefault="000E0418" w:rsidP="000E0418">
      <w:pPr>
        <w:spacing w:after="0" w:line="240" w:lineRule="auto"/>
        <w:rPr>
          <w:rFonts w:ascii="Tahoma" w:eastAsia="Times New Roman" w:hAnsi="Tahoma" w:cs="Tahoma"/>
          <w:color w:val="1E1E82"/>
          <w:sz w:val="24"/>
          <w:szCs w:val="24"/>
          <w:lang w:eastAsia="en-GB"/>
        </w:rPr>
      </w:pPr>
      <w:r w:rsidRPr="009F41E1">
        <w:rPr>
          <w:rFonts w:ascii="Tahoma" w:eastAsia="Times New Roman" w:hAnsi="Tahoma" w:cs="Tahoma"/>
          <w:color w:val="1E1E82"/>
          <w:sz w:val="24"/>
          <w:szCs w:val="24"/>
          <w:lang w:eastAsia="en-GB"/>
        </w:rPr>
        <w:t xml:space="preserve">New </w:t>
      </w:r>
      <w:r w:rsidR="009F41E1" w:rsidRPr="009F41E1">
        <w:rPr>
          <w:rFonts w:ascii="Tahoma" w:eastAsia="Times New Roman" w:hAnsi="Tahoma" w:cs="Tahoma"/>
          <w:color w:val="1E1E82"/>
          <w:sz w:val="24"/>
          <w:szCs w:val="24"/>
          <w:lang w:eastAsia="en-GB"/>
        </w:rPr>
        <w:t>Rule 31(B)</w:t>
      </w:r>
    </w:p>
    <w:p w14:paraId="28355727" w14:textId="77777777" w:rsidR="009F41E1" w:rsidRPr="009F41E1" w:rsidRDefault="009F41E1" w:rsidP="000E0418">
      <w:pPr>
        <w:spacing w:after="0" w:line="240" w:lineRule="auto"/>
        <w:rPr>
          <w:rFonts w:ascii="Tahoma" w:eastAsia="Times New Roman" w:hAnsi="Tahoma" w:cs="Tahoma"/>
          <w:color w:val="1E1E82"/>
          <w:sz w:val="24"/>
          <w:szCs w:val="24"/>
          <w:lang w:eastAsia="en-GB"/>
        </w:rPr>
      </w:pPr>
    </w:p>
    <w:p w14:paraId="7A39D1C2" w14:textId="5662D294" w:rsidR="000E0418" w:rsidRPr="009F41E1" w:rsidRDefault="000E0418" w:rsidP="000E0418">
      <w:pPr>
        <w:spacing w:after="0" w:line="240" w:lineRule="auto"/>
        <w:rPr>
          <w:rFonts w:ascii="Tahoma" w:eastAsia="Times New Roman" w:hAnsi="Tahoma" w:cs="Tahoma"/>
          <w:color w:val="1E1E82"/>
          <w:sz w:val="24"/>
          <w:szCs w:val="24"/>
          <w:lang w:eastAsia="en-GB"/>
        </w:rPr>
      </w:pPr>
      <w:r w:rsidRPr="009F41E1">
        <w:rPr>
          <w:rFonts w:ascii="Tahoma" w:eastAsia="Times New Roman" w:hAnsi="Tahoma" w:cs="Tahoma"/>
          <w:color w:val="1E1E82"/>
          <w:sz w:val="24"/>
          <w:szCs w:val="24"/>
          <w:lang w:eastAsia="en-GB"/>
        </w:rPr>
        <w:t>Any Overseas Player that appears in a search on ESPN CricInfo is not permitted to play in any of the NECL competitions.</w:t>
      </w:r>
    </w:p>
    <w:p w14:paraId="173101A1" w14:textId="77777777" w:rsidR="000E0418" w:rsidRPr="009F41E1" w:rsidRDefault="000E0418" w:rsidP="000E0418">
      <w:pPr>
        <w:spacing w:after="0" w:line="240" w:lineRule="auto"/>
        <w:rPr>
          <w:rFonts w:ascii="Tahoma" w:eastAsia="Times New Roman" w:hAnsi="Tahoma" w:cs="Tahoma"/>
          <w:color w:val="1E1E82"/>
          <w:sz w:val="24"/>
          <w:szCs w:val="24"/>
          <w:lang w:eastAsia="en-GB"/>
        </w:rPr>
      </w:pPr>
      <w:r w:rsidRPr="009F41E1">
        <w:rPr>
          <w:rFonts w:ascii="Tahoma" w:eastAsia="Times New Roman" w:hAnsi="Tahoma" w:cs="Tahoma"/>
          <w:color w:val="1E1E82"/>
          <w:sz w:val="24"/>
          <w:szCs w:val="24"/>
          <w:lang w:eastAsia="en-GB"/>
        </w:rPr>
        <w:t> </w:t>
      </w:r>
    </w:p>
    <w:p w14:paraId="4E184498" w14:textId="77777777" w:rsidR="000E0418" w:rsidRPr="009F41E1" w:rsidRDefault="000E0418" w:rsidP="000E0418">
      <w:pPr>
        <w:spacing w:after="0" w:line="240" w:lineRule="auto"/>
        <w:rPr>
          <w:rFonts w:ascii="Tahoma" w:eastAsia="Times New Roman" w:hAnsi="Tahoma" w:cs="Tahoma"/>
          <w:color w:val="1E1E82"/>
          <w:sz w:val="24"/>
          <w:szCs w:val="24"/>
          <w:lang w:eastAsia="en-GB"/>
        </w:rPr>
      </w:pPr>
      <w:r w:rsidRPr="009F41E1">
        <w:rPr>
          <w:rFonts w:ascii="Tahoma" w:eastAsia="Times New Roman" w:hAnsi="Tahoma" w:cs="Tahoma"/>
          <w:color w:val="1E1E82"/>
          <w:sz w:val="24"/>
          <w:szCs w:val="24"/>
          <w:lang w:eastAsia="en-GB"/>
        </w:rPr>
        <w:t>The committee feel that the growing amount of high class young overseas players playing in the NECL is to the detriment of the competition.</w:t>
      </w:r>
    </w:p>
    <w:p w14:paraId="140C6386" w14:textId="6B094A32" w:rsidR="000E0418" w:rsidRDefault="000E0418" w:rsidP="000E0418">
      <w:pPr>
        <w:spacing w:after="0" w:line="240" w:lineRule="auto"/>
        <w:rPr>
          <w:rFonts w:ascii="Tahoma" w:eastAsia="Times New Roman" w:hAnsi="Tahoma" w:cs="Tahoma"/>
          <w:color w:val="1E1E82"/>
          <w:sz w:val="24"/>
          <w:szCs w:val="24"/>
          <w:lang w:eastAsia="en-GB"/>
        </w:rPr>
      </w:pPr>
      <w:r w:rsidRPr="009F41E1">
        <w:rPr>
          <w:rFonts w:ascii="Tahoma" w:eastAsia="Times New Roman" w:hAnsi="Tahoma" w:cs="Tahoma"/>
          <w:color w:val="1E1E82"/>
          <w:sz w:val="24"/>
          <w:szCs w:val="24"/>
          <w:lang w:eastAsia="en-GB"/>
        </w:rPr>
        <w:t>We feel there is enough competitive cricket on Saturday’s and coaching opportunities for them not to be used in the NECL competitions.</w:t>
      </w:r>
    </w:p>
    <w:p w14:paraId="5E703E1F" w14:textId="130C2313" w:rsidR="008200E1" w:rsidRDefault="008200E1" w:rsidP="000E0418">
      <w:pPr>
        <w:spacing w:after="0" w:line="240" w:lineRule="auto"/>
        <w:rPr>
          <w:rFonts w:ascii="Tahoma" w:eastAsia="Times New Roman" w:hAnsi="Tahoma" w:cs="Tahoma"/>
          <w:color w:val="1E1E82"/>
          <w:sz w:val="24"/>
          <w:szCs w:val="24"/>
          <w:lang w:eastAsia="en-GB"/>
        </w:rPr>
      </w:pPr>
    </w:p>
    <w:p w14:paraId="53AA5463" w14:textId="77777777" w:rsidR="008200E1" w:rsidRPr="009F41E1" w:rsidRDefault="008200E1" w:rsidP="000E0418">
      <w:pPr>
        <w:spacing w:after="0" w:line="240" w:lineRule="auto"/>
        <w:rPr>
          <w:rFonts w:ascii="Tahoma" w:eastAsia="Times New Roman" w:hAnsi="Tahoma" w:cs="Tahoma"/>
          <w:color w:val="1E1E82"/>
          <w:sz w:val="24"/>
          <w:szCs w:val="24"/>
          <w:lang w:eastAsia="en-GB"/>
        </w:rPr>
      </w:pPr>
    </w:p>
    <w:p w14:paraId="3A52B929" w14:textId="77777777" w:rsidR="000E0418" w:rsidRPr="000E0418" w:rsidRDefault="000E0418" w:rsidP="000E0418">
      <w:pPr>
        <w:spacing w:after="0" w:line="240" w:lineRule="auto"/>
        <w:rPr>
          <w:rFonts w:ascii="Tahoma" w:eastAsia="Times New Roman" w:hAnsi="Tahoma" w:cs="Tahoma"/>
          <w:sz w:val="24"/>
          <w:szCs w:val="24"/>
          <w:lang w:eastAsia="en-GB"/>
        </w:rPr>
      </w:pPr>
      <w:r w:rsidRPr="000E0418">
        <w:rPr>
          <w:rFonts w:ascii="Tahoma" w:eastAsia="Times New Roman" w:hAnsi="Tahoma" w:cs="Tahoma"/>
          <w:sz w:val="24"/>
          <w:szCs w:val="24"/>
          <w:lang w:eastAsia="en-GB"/>
        </w:rPr>
        <w:t> </w:t>
      </w:r>
    </w:p>
    <w:p w14:paraId="12963D8D" w14:textId="77777777" w:rsidR="000E0418" w:rsidRPr="000E0418" w:rsidRDefault="000E0418" w:rsidP="000E0418">
      <w:pPr>
        <w:spacing w:after="0" w:line="240" w:lineRule="auto"/>
        <w:rPr>
          <w:rFonts w:ascii="Tahoma" w:eastAsia="Times New Roman" w:hAnsi="Tahoma" w:cs="Tahoma"/>
          <w:sz w:val="24"/>
          <w:szCs w:val="24"/>
          <w:lang w:eastAsia="en-GB"/>
        </w:rPr>
      </w:pPr>
      <w:r w:rsidRPr="000E0418">
        <w:rPr>
          <w:rFonts w:ascii="Tahoma" w:eastAsia="Times New Roman" w:hAnsi="Tahoma" w:cs="Tahoma"/>
          <w:sz w:val="24"/>
          <w:szCs w:val="24"/>
          <w:lang w:eastAsia="en-GB"/>
        </w:rPr>
        <w:t> </w:t>
      </w:r>
    </w:p>
    <w:p w14:paraId="28C41407" w14:textId="0313505B" w:rsidR="000E0418" w:rsidRPr="000E0418" w:rsidRDefault="000E0418" w:rsidP="000E0418">
      <w:pPr>
        <w:spacing w:after="0" w:line="240" w:lineRule="auto"/>
        <w:rPr>
          <w:rFonts w:ascii="Tahoma" w:eastAsia="Times New Roman" w:hAnsi="Tahoma" w:cs="Tahoma"/>
          <w:sz w:val="24"/>
          <w:szCs w:val="24"/>
          <w:lang w:eastAsia="en-GB"/>
        </w:rPr>
      </w:pPr>
    </w:p>
    <w:p w14:paraId="0BBD5984" w14:textId="7A1FC124" w:rsidR="000E0418" w:rsidRDefault="000E0418" w:rsidP="005178FC">
      <w:pPr>
        <w:pStyle w:val="NoSpacing"/>
        <w:rPr>
          <w:rFonts w:ascii="Tahoma" w:hAnsi="Tahoma" w:cs="Tahoma"/>
          <w:color w:val="325096"/>
          <w:sz w:val="24"/>
          <w:szCs w:val="24"/>
        </w:rPr>
      </w:pPr>
    </w:p>
    <w:p w14:paraId="65821420" w14:textId="77777777" w:rsidR="000E0418" w:rsidRDefault="000E0418" w:rsidP="005178FC">
      <w:pPr>
        <w:pStyle w:val="NoSpacing"/>
        <w:rPr>
          <w:rFonts w:ascii="Tahoma" w:hAnsi="Tahoma" w:cs="Tahoma"/>
          <w:color w:val="325096"/>
          <w:sz w:val="24"/>
          <w:szCs w:val="24"/>
        </w:rPr>
      </w:pPr>
    </w:p>
    <w:p w14:paraId="7B6EC8B3" w14:textId="77777777" w:rsidR="00CD1B34" w:rsidRDefault="00CD1B34" w:rsidP="005178FC">
      <w:pPr>
        <w:pStyle w:val="NoSpacing"/>
        <w:rPr>
          <w:rFonts w:ascii="Tahoma" w:hAnsi="Tahoma" w:cs="Tahoma"/>
          <w:color w:val="325096"/>
          <w:sz w:val="24"/>
          <w:szCs w:val="24"/>
        </w:rPr>
      </w:pPr>
    </w:p>
    <w:p w14:paraId="35F9A79F" w14:textId="77777777" w:rsidR="0056370F" w:rsidRDefault="0056370F" w:rsidP="005178FC">
      <w:pPr>
        <w:pStyle w:val="NoSpacing"/>
      </w:pPr>
    </w:p>
    <w:sectPr w:rsidR="0056370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99B"/>
    <w:rsid w:val="000E0418"/>
    <w:rsid w:val="00117769"/>
    <w:rsid w:val="001B5D2F"/>
    <w:rsid w:val="003B2F0D"/>
    <w:rsid w:val="003C55B4"/>
    <w:rsid w:val="005178FC"/>
    <w:rsid w:val="0056370F"/>
    <w:rsid w:val="005F703D"/>
    <w:rsid w:val="00656ECA"/>
    <w:rsid w:val="00673BEF"/>
    <w:rsid w:val="006D3725"/>
    <w:rsid w:val="008200E1"/>
    <w:rsid w:val="0084199B"/>
    <w:rsid w:val="009F41E1"/>
    <w:rsid w:val="00BF7174"/>
    <w:rsid w:val="00C442B6"/>
    <w:rsid w:val="00CD1B34"/>
    <w:rsid w:val="00FA2C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543DB"/>
  <w15:chartTrackingRefBased/>
  <w15:docId w15:val="{81FC61DF-F633-4793-9F1B-9A59F17B4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370F"/>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178F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3930129">
      <w:bodyDiv w:val="1"/>
      <w:marLeft w:val="0"/>
      <w:marRight w:val="0"/>
      <w:marTop w:val="0"/>
      <w:marBottom w:val="0"/>
      <w:divBdr>
        <w:top w:val="none" w:sz="0" w:space="0" w:color="auto"/>
        <w:left w:val="none" w:sz="0" w:space="0" w:color="auto"/>
        <w:bottom w:val="none" w:sz="0" w:space="0" w:color="auto"/>
        <w:right w:val="none" w:sz="0" w:space="0" w:color="auto"/>
      </w:divBdr>
      <w:divsChild>
        <w:div w:id="1971981416">
          <w:marLeft w:val="0"/>
          <w:marRight w:val="0"/>
          <w:marTop w:val="0"/>
          <w:marBottom w:val="0"/>
          <w:divBdr>
            <w:top w:val="none" w:sz="0" w:space="0" w:color="auto"/>
            <w:left w:val="none" w:sz="0" w:space="0" w:color="auto"/>
            <w:bottom w:val="none" w:sz="0" w:space="0" w:color="auto"/>
            <w:right w:val="none" w:sz="0" w:space="0" w:color="auto"/>
          </w:divBdr>
        </w:div>
        <w:div w:id="1942954830">
          <w:marLeft w:val="0"/>
          <w:marRight w:val="0"/>
          <w:marTop w:val="0"/>
          <w:marBottom w:val="0"/>
          <w:divBdr>
            <w:top w:val="none" w:sz="0" w:space="0" w:color="auto"/>
            <w:left w:val="none" w:sz="0" w:space="0" w:color="auto"/>
            <w:bottom w:val="none" w:sz="0" w:space="0" w:color="auto"/>
            <w:right w:val="none" w:sz="0" w:space="0" w:color="auto"/>
          </w:divBdr>
        </w:div>
        <w:div w:id="128138125">
          <w:marLeft w:val="0"/>
          <w:marRight w:val="0"/>
          <w:marTop w:val="0"/>
          <w:marBottom w:val="0"/>
          <w:divBdr>
            <w:top w:val="none" w:sz="0" w:space="0" w:color="auto"/>
            <w:left w:val="none" w:sz="0" w:space="0" w:color="auto"/>
            <w:bottom w:val="none" w:sz="0" w:space="0" w:color="auto"/>
            <w:right w:val="none" w:sz="0" w:space="0" w:color="auto"/>
          </w:divBdr>
        </w:div>
        <w:div w:id="766313718">
          <w:marLeft w:val="0"/>
          <w:marRight w:val="0"/>
          <w:marTop w:val="0"/>
          <w:marBottom w:val="0"/>
          <w:divBdr>
            <w:top w:val="none" w:sz="0" w:space="0" w:color="auto"/>
            <w:left w:val="none" w:sz="0" w:space="0" w:color="auto"/>
            <w:bottom w:val="none" w:sz="0" w:space="0" w:color="auto"/>
            <w:right w:val="none" w:sz="0" w:space="0" w:color="auto"/>
          </w:divBdr>
        </w:div>
        <w:div w:id="1338383370">
          <w:marLeft w:val="0"/>
          <w:marRight w:val="0"/>
          <w:marTop w:val="0"/>
          <w:marBottom w:val="0"/>
          <w:divBdr>
            <w:top w:val="none" w:sz="0" w:space="0" w:color="auto"/>
            <w:left w:val="none" w:sz="0" w:space="0" w:color="auto"/>
            <w:bottom w:val="none" w:sz="0" w:space="0" w:color="auto"/>
            <w:right w:val="none" w:sz="0" w:space="0" w:color="auto"/>
          </w:divBdr>
        </w:div>
        <w:div w:id="738095137">
          <w:marLeft w:val="0"/>
          <w:marRight w:val="0"/>
          <w:marTop w:val="0"/>
          <w:marBottom w:val="0"/>
          <w:divBdr>
            <w:top w:val="none" w:sz="0" w:space="0" w:color="auto"/>
            <w:left w:val="none" w:sz="0" w:space="0" w:color="auto"/>
            <w:bottom w:val="none" w:sz="0" w:space="0" w:color="auto"/>
            <w:right w:val="none" w:sz="0" w:space="0" w:color="auto"/>
          </w:divBdr>
        </w:div>
        <w:div w:id="952008498">
          <w:marLeft w:val="0"/>
          <w:marRight w:val="0"/>
          <w:marTop w:val="0"/>
          <w:marBottom w:val="0"/>
          <w:divBdr>
            <w:top w:val="none" w:sz="0" w:space="0" w:color="auto"/>
            <w:left w:val="none" w:sz="0" w:space="0" w:color="auto"/>
            <w:bottom w:val="none" w:sz="0" w:space="0" w:color="auto"/>
            <w:right w:val="none" w:sz="0" w:space="0" w:color="auto"/>
          </w:divBdr>
        </w:div>
        <w:div w:id="1234001574">
          <w:marLeft w:val="0"/>
          <w:marRight w:val="0"/>
          <w:marTop w:val="0"/>
          <w:marBottom w:val="0"/>
          <w:divBdr>
            <w:top w:val="none" w:sz="0" w:space="0" w:color="auto"/>
            <w:left w:val="none" w:sz="0" w:space="0" w:color="auto"/>
            <w:bottom w:val="none" w:sz="0" w:space="0" w:color="auto"/>
            <w:right w:val="none" w:sz="0" w:space="0" w:color="auto"/>
          </w:divBdr>
        </w:div>
        <w:div w:id="475219149">
          <w:marLeft w:val="0"/>
          <w:marRight w:val="0"/>
          <w:marTop w:val="0"/>
          <w:marBottom w:val="0"/>
          <w:divBdr>
            <w:top w:val="none" w:sz="0" w:space="0" w:color="auto"/>
            <w:left w:val="none" w:sz="0" w:space="0" w:color="auto"/>
            <w:bottom w:val="none" w:sz="0" w:space="0" w:color="auto"/>
            <w:right w:val="none" w:sz="0" w:space="0" w:color="auto"/>
          </w:divBdr>
        </w:div>
        <w:div w:id="2085761324">
          <w:marLeft w:val="0"/>
          <w:marRight w:val="0"/>
          <w:marTop w:val="0"/>
          <w:marBottom w:val="0"/>
          <w:divBdr>
            <w:top w:val="none" w:sz="0" w:space="0" w:color="auto"/>
            <w:left w:val="none" w:sz="0" w:space="0" w:color="auto"/>
            <w:bottom w:val="none" w:sz="0" w:space="0" w:color="auto"/>
            <w:right w:val="none" w:sz="0" w:space="0" w:color="auto"/>
          </w:divBdr>
        </w:div>
        <w:div w:id="160238480">
          <w:marLeft w:val="0"/>
          <w:marRight w:val="0"/>
          <w:marTop w:val="0"/>
          <w:marBottom w:val="0"/>
          <w:divBdr>
            <w:top w:val="none" w:sz="0" w:space="0" w:color="auto"/>
            <w:left w:val="none" w:sz="0" w:space="0" w:color="auto"/>
            <w:bottom w:val="none" w:sz="0" w:space="0" w:color="auto"/>
            <w:right w:val="none" w:sz="0" w:space="0" w:color="auto"/>
          </w:divBdr>
        </w:div>
        <w:div w:id="536741333">
          <w:marLeft w:val="0"/>
          <w:marRight w:val="0"/>
          <w:marTop w:val="0"/>
          <w:marBottom w:val="0"/>
          <w:divBdr>
            <w:top w:val="none" w:sz="0" w:space="0" w:color="auto"/>
            <w:left w:val="none" w:sz="0" w:space="0" w:color="auto"/>
            <w:bottom w:val="none" w:sz="0" w:space="0" w:color="auto"/>
            <w:right w:val="none" w:sz="0" w:space="0" w:color="auto"/>
          </w:divBdr>
        </w:div>
        <w:div w:id="978999791">
          <w:marLeft w:val="0"/>
          <w:marRight w:val="0"/>
          <w:marTop w:val="0"/>
          <w:marBottom w:val="0"/>
          <w:divBdr>
            <w:top w:val="none" w:sz="0" w:space="0" w:color="auto"/>
            <w:left w:val="none" w:sz="0" w:space="0" w:color="auto"/>
            <w:bottom w:val="none" w:sz="0" w:space="0" w:color="auto"/>
            <w:right w:val="none" w:sz="0" w:space="0" w:color="auto"/>
          </w:divBdr>
        </w:div>
        <w:div w:id="1251818141">
          <w:marLeft w:val="0"/>
          <w:marRight w:val="0"/>
          <w:marTop w:val="0"/>
          <w:marBottom w:val="0"/>
          <w:divBdr>
            <w:top w:val="none" w:sz="0" w:space="0" w:color="auto"/>
            <w:left w:val="none" w:sz="0" w:space="0" w:color="auto"/>
            <w:bottom w:val="none" w:sz="0" w:space="0" w:color="auto"/>
            <w:right w:val="none" w:sz="0" w:space="0" w:color="auto"/>
          </w:divBdr>
        </w:div>
        <w:div w:id="554203158">
          <w:marLeft w:val="0"/>
          <w:marRight w:val="0"/>
          <w:marTop w:val="0"/>
          <w:marBottom w:val="0"/>
          <w:divBdr>
            <w:top w:val="none" w:sz="0" w:space="0" w:color="auto"/>
            <w:left w:val="none" w:sz="0" w:space="0" w:color="auto"/>
            <w:bottom w:val="none" w:sz="0" w:space="0" w:color="auto"/>
            <w:right w:val="none" w:sz="0" w:space="0" w:color="auto"/>
          </w:divBdr>
        </w:div>
        <w:div w:id="2123381702">
          <w:marLeft w:val="0"/>
          <w:marRight w:val="0"/>
          <w:marTop w:val="0"/>
          <w:marBottom w:val="0"/>
          <w:divBdr>
            <w:top w:val="none" w:sz="0" w:space="0" w:color="auto"/>
            <w:left w:val="none" w:sz="0" w:space="0" w:color="auto"/>
            <w:bottom w:val="none" w:sz="0" w:space="0" w:color="auto"/>
            <w:right w:val="none" w:sz="0" w:space="0" w:color="auto"/>
          </w:divBdr>
        </w:div>
        <w:div w:id="579216268">
          <w:marLeft w:val="0"/>
          <w:marRight w:val="0"/>
          <w:marTop w:val="0"/>
          <w:marBottom w:val="0"/>
          <w:divBdr>
            <w:top w:val="none" w:sz="0" w:space="0" w:color="auto"/>
            <w:left w:val="none" w:sz="0" w:space="0" w:color="auto"/>
            <w:bottom w:val="none" w:sz="0" w:space="0" w:color="auto"/>
            <w:right w:val="none" w:sz="0" w:space="0" w:color="auto"/>
          </w:divBdr>
        </w:div>
      </w:divsChild>
    </w:div>
    <w:div w:id="2015954321">
      <w:bodyDiv w:val="1"/>
      <w:marLeft w:val="0"/>
      <w:marRight w:val="0"/>
      <w:marTop w:val="0"/>
      <w:marBottom w:val="0"/>
      <w:divBdr>
        <w:top w:val="none" w:sz="0" w:space="0" w:color="auto"/>
        <w:left w:val="none" w:sz="0" w:space="0" w:color="auto"/>
        <w:bottom w:val="none" w:sz="0" w:space="0" w:color="auto"/>
        <w:right w:val="none" w:sz="0" w:space="0" w:color="auto"/>
      </w:divBdr>
    </w:div>
    <w:div w:id="2048293419">
      <w:bodyDiv w:val="1"/>
      <w:marLeft w:val="0"/>
      <w:marRight w:val="0"/>
      <w:marTop w:val="0"/>
      <w:marBottom w:val="0"/>
      <w:divBdr>
        <w:top w:val="none" w:sz="0" w:space="0" w:color="auto"/>
        <w:left w:val="none" w:sz="0" w:space="0" w:color="auto"/>
        <w:bottom w:val="none" w:sz="0" w:space="0" w:color="auto"/>
        <w:right w:val="none" w:sz="0" w:space="0" w:color="auto"/>
      </w:divBdr>
    </w:div>
    <w:div w:id="2064719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1</Pages>
  <Words>220</Words>
  <Characters>1255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Brinded</dc:creator>
  <cp:keywords/>
  <dc:description/>
  <cp:lastModifiedBy>Maria Stockdale</cp:lastModifiedBy>
  <cp:revision>14</cp:revision>
  <cp:lastPrinted>2022-10-13T13:54:00Z</cp:lastPrinted>
  <dcterms:created xsi:type="dcterms:W3CDTF">2021-10-11T12:30:00Z</dcterms:created>
  <dcterms:modified xsi:type="dcterms:W3CDTF">2022-10-15T12:27:00Z</dcterms:modified>
</cp:coreProperties>
</file>